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A5E19" w14:textId="77777777" w:rsidR="002670E5" w:rsidRDefault="002670E5" w:rsidP="002670E5">
      <w:pPr>
        <w:shd w:val="clear" w:color="auto" w:fill="D9E2F3" w:themeFill="accent1" w:themeFillTint="33"/>
        <w:rPr>
          <w:rFonts w:cstheme="minorHAnsi"/>
          <w:b/>
          <w:bCs/>
          <w:sz w:val="24"/>
          <w:szCs w:val="24"/>
          <w:u w:val="single"/>
          <w:lang w:val="es-ES"/>
        </w:rPr>
      </w:pPr>
      <w:r>
        <w:rPr>
          <w:b/>
          <w:bCs/>
          <w:sz w:val="24"/>
          <w:szCs w:val="24"/>
          <w:u w:val="single"/>
          <w:lang w:val="es-ES"/>
        </w:rPr>
        <w:t xml:space="preserve">Puntos de discusión sobre el programa Cox Home </w:t>
      </w:r>
      <w:proofErr w:type="spellStart"/>
      <w:r>
        <w:rPr>
          <w:b/>
          <w:bCs/>
          <w:sz w:val="24"/>
          <w:szCs w:val="24"/>
          <w:u w:val="single"/>
          <w:lang w:val="es-ES"/>
        </w:rPr>
        <w:t>Connectivity</w:t>
      </w:r>
      <w:proofErr w:type="spellEnd"/>
      <w:r>
        <w:rPr>
          <w:b/>
          <w:bCs/>
          <w:sz w:val="24"/>
          <w:szCs w:val="24"/>
          <w:u w:val="single"/>
          <w:lang w:val="es-ES"/>
        </w:rPr>
        <w:t xml:space="preserve"> </w:t>
      </w:r>
      <w:proofErr w:type="spellStart"/>
      <w:r>
        <w:rPr>
          <w:b/>
          <w:bCs/>
          <w:sz w:val="24"/>
          <w:szCs w:val="24"/>
          <w:u w:val="single"/>
          <w:lang w:val="es-ES"/>
        </w:rPr>
        <w:t>for</w:t>
      </w:r>
      <w:proofErr w:type="spellEnd"/>
      <w:r>
        <w:rPr>
          <w:b/>
          <w:bCs/>
          <w:sz w:val="24"/>
          <w:szCs w:val="24"/>
          <w:u w:val="single"/>
          <w:lang w:val="es-ES"/>
        </w:rPr>
        <w:t xml:space="preserve"> </w:t>
      </w:r>
      <w:proofErr w:type="spellStart"/>
      <w:r>
        <w:rPr>
          <w:b/>
          <w:bCs/>
          <w:sz w:val="24"/>
          <w:szCs w:val="24"/>
          <w:u w:val="single"/>
          <w:lang w:val="es-ES"/>
        </w:rPr>
        <w:t>Education</w:t>
      </w:r>
      <w:proofErr w:type="spellEnd"/>
      <w:r>
        <w:rPr>
          <w:b/>
          <w:bCs/>
          <w:sz w:val="24"/>
          <w:szCs w:val="24"/>
          <w:u w:val="single"/>
          <w:lang w:val="es-ES"/>
        </w:rPr>
        <w:t xml:space="preserve"> para administradores y trabajadores sociales</w:t>
      </w:r>
    </w:p>
    <w:p w14:paraId="52F8BFF8" w14:textId="77777777" w:rsidR="002670E5" w:rsidRDefault="002670E5" w:rsidP="002670E5">
      <w:pPr>
        <w:pStyle w:val="NoSpacing"/>
        <w:rPr>
          <w:rFonts w:cstheme="minorHAnsi"/>
          <w:b/>
          <w:bCs/>
          <w:sz w:val="24"/>
          <w:szCs w:val="24"/>
          <w:lang w:val="es-ES"/>
        </w:rPr>
      </w:pPr>
      <w:r>
        <w:rPr>
          <w:b/>
          <w:bCs/>
          <w:sz w:val="24"/>
          <w:szCs w:val="24"/>
          <w:lang w:val="es-ES"/>
        </w:rPr>
        <w:t xml:space="preserve">Cómo participar en el programa Cox Home </w:t>
      </w:r>
      <w:proofErr w:type="spellStart"/>
      <w:r>
        <w:rPr>
          <w:b/>
          <w:bCs/>
          <w:sz w:val="24"/>
          <w:szCs w:val="24"/>
          <w:lang w:val="es-ES"/>
        </w:rPr>
        <w:t>Connectivity</w:t>
      </w:r>
      <w:proofErr w:type="spellEnd"/>
      <w:r>
        <w:rPr>
          <w:b/>
          <w:bCs/>
          <w:sz w:val="24"/>
          <w:szCs w:val="24"/>
          <w:lang w:val="es-ES"/>
        </w:rPr>
        <w:t xml:space="preserve"> </w:t>
      </w:r>
      <w:proofErr w:type="spellStart"/>
      <w:r>
        <w:rPr>
          <w:b/>
          <w:bCs/>
          <w:sz w:val="24"/>
          <w:szCs w:val="24"/>
          <w:lang w:val="es-ES"/>
        </w:rPr>
        <w:t>for</w:t>
      </w:r>
      <w:proofErr w:type="spellEnd"/>
      <w:r>
        <w:rPr>
          <w:b/>
          <w:bCs/>
          <w:sz w:val="24"/>
          <w:szCs w:val="24"/>
          <w:lang w:val="es-ES"/>
        </w:rPr>
        <w:t xml:space="preserve"> </w:t>
      </w:r>
      <w:proofErr w:type="spellStart"/>
      <w:r>
        <w:rPr>
          <w:b/>
          <w:bCs/>
          <w:sz w:val="24"/>
          <w:szCs w:val="24"/>
          <w:lang w:val="es-ES"/>
        </w:rPr>
        <w:t>Education</w:t>
      </w:r>
      <w:proofErr w:type="spellEnd"/>
    </w:p>
    <w:p w14:paraId="2BE97399" w14:textId="77777777" w:rsidR="002670E5" w:rsidRDefault="002670E5" w:rsidP="002670E5">
      <w:pPr>
        <w:pStyle w:val="NoSpacing"/>
        <w:rPr>
          <w:rFonts w:cstheme="minorHAnsi"/>
          <w:sz w:val="24"/>
          <w:szCs w:val="24"/>
          <w:lang w:val="es-ES"/>
        </w:rPr>
      </w:pPr>
    </w:p>
    <w:p w14:paraId="36047AA4" w14:textId="77777777" w:rsidR="002670E5" w:rsidRDefault="002670E5" w:rsidP="002670E5">
      <w:pPr>
        <w:rPr>
          <w:rFonts w:cstheme="minorHAnsi"/>
          <w:sz w:val="24"/>
          <w:szCs w:val="24"/>
          <w:lang w:val="es-ES"/>
        </w:rPr>
      </w:pPr>
      <w:r>
        <w:rPr>
          <w:sz w:val="24"/>
          <w:szCs w:val="24"/>
          <w:lang w:val="es-ES"/>
        </w:rPr>
        <w:t xml:space="preserve">El Fondo de Emergencia para la Conectividad (ECF, por sus siglas en inglés) es un programa federal que tiene como objeto facilitar la conectividad de internet a estudiantes, personal docente y usuarios de bibliotecas cuando no se encuentren en el centro de estudios o en la biblioteca. Cox está ofreciendo una solución de conectividad especial de ECF que se llama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(Conectividad en el hogar para la educación de Cox). </w:t>
      </w:r>
    </w:p>
    <w:p w14:paraId="64E1B90C" w14:textId="77777777" w:rsidR="002670E5" w:rsidRDefault="002670E5" w:rsidP="002670E5">
      <w:pPr>
        <w:rPr>
          <w:rFonts w:cstheme="minorHAnsi"/>
          <w:sz w:val="24"/>
          <w:szCs w:val="24"/>
          <w:lang w:val="es-ES"/>
        </w:rPr>
      </w:pPr>
      <w:r>
        <w:rPr>
          <w:sz w:val="24"/>
          <w:szCs w:val="24"/>
          <w:lang w:val="es-ES"/>
        </w:rPr>
        <w:t>El aprendizaje virtual ha dejado de ser algo opcional para convertirse en algo imprescindible, y por eso Cox quiere ayudar a cerrar la brecha digital. Nuestras soluciones ayudan a los centros educativos, alumnos, personal docente y usuarios de bibliotecas eliminando barreras de costo y conectividad.</w:t>
      </w:r>
    </w:p>
    <w:p w14:paraId="4284E889" w14:textId="77777777" w:rsidR="002670E5" w:rsidRDefault="002670E5" w:rsidP="002670E5">
      <w:pPr>
        <w:rPr>
          <w:rFonts w:cstheme="minorHAnsi"/>
          <w:b/>
          <w:bCs/>
          <w:sz w:val="24"/>
          <w:szCs w:val="24"/>
          <w:lang w:val="es-ES"/>
        </w:rPr>
      </w:pPr>
      <w:r>
        <w:rPr>
          <w:b/>
          <w:bCs/>
          <w:sz w:val="24"/>
          <w:szCs w:val="24"/>
          <w:lang w:val="es-ES"/>
        </w:rPr>
        <w:t xml:space="preserve">Información sobre el programa Cox Home </w:t>
      </w:r>
      <w:proofErr w:type="spellStart"/>
      <w:r>
        <w:rPr>
          <w:b/>
          <w:bCs/>
          <w:sz w:val="24"/>
          <w:szCs w:val="24"/>
          <w:lang w:val="es-ES"/>
        </w:rPr>
        <w:t>Connectivity</w:t>
      </w:r>
      <w:proofErr w:type="spellEnd"/>
      <w:r>
        <w:rPr>
          <w:b/>
          <w:bCs/>
          <w:sz w:val="24"/>
          <w:szCs w:val="24"/>
          <w:lang w:val="es-ES"/>
        </w:rPr>
        <w:t xml:space="preserve"> </w:t>
      </w:r>
      <w:proofErr w:type="spellStart"/>
      <w:r>
        <w:rPr>
          <w:b/>
          <w:bCs/>
          <w:sz w:val="24"/>
          <w:szCs w:val="24"/>
          <w:lang w:val="es-ES"/>
        </w:rPr>
        <w:t>for</w:t>
      </w:r>
      <w:proofErr w:type="spellEnd"/>
      <w:r>
        <w:rPr>
          <w:b/>
          <w:bCs/>
          <w:sz w:val="24"/>
          <w:szCs w:val="24"/>
          <w:lang w:val="es-ES"/>
        </w:rPr>
        <w:t xml:space="preserve"> </w:t>
      </w:r>
      <w:proofErr w:type="spellStart"/>
      <w:r>
        <w:rPr>
          <w:b/>
          <w:bCs/>
          <w:sz w:val="24"/>
          <w:szCs w:val="24"/>
          <w:lang w:val="es-ES"/>
        </w:rPr>
        <w:t>Education</w:t>
      </w:r>
      <w:proofErr w:type="spellEnd"/>
    </w:p>
    <w:p w14:paraId="7FD9AE2D" w14:textId="77777777" w:rsidR="002670E5" w:rsidRDefault="002670E5" w:rsidP="002670E5">
      <w:pPr>
        <w:rPr>
          <w:rFonts w:cstheme="minorHAnsi"/>
          <w:sz w:val="24"/>
          <w:szCs w:val="24"/>
          <w:lang w:val="es-ES"/>
        </w:rPr>
      </w:pPr>
      <w:r>
        <w:rPr>
          <w:sz w:val="24"/>
          <w:szCs w:val="24"/>
          <w:lang w:val="es-ES"/>
        </w:rPr>
        <w:t xml:space="preserve">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ofrece soluciones económicas para el aprendizaje y la enseñanza a distancia que incluyen:</w:t>
      </w:r>
    </w:p>
    <w:p w14:paraId="5CFBEF74" w14:textId="77777777" w:rsidR="002670E5" w:rsidRDefault="002670E5" w:rsidP="002670E5">
      <w:pPr>
        <w:pStyle w:val="NoSpacing"/>
        <w:numPr>
          <w:ilvl w:val="0"/>
          <w:numId w:val="1"/>
        </w:numPr>
        <w:rPr>
          <w:rFonts w:cstheme="minorHAnsi"/>
          <w:color w:val="181717"/>
          <w:sz w:val="24"/>
          <w:szCs w:val="24"/>
          <w:lang w:val="es-ES"/>
        </w:rPr>
      </w:pPr>
      <w:r>
        <w:rPr>
          <w:color w:val="181717"/>
          <w:sz w:val="24"/>
          <w:szCs w:val="24"/>
          <w:lang w:val="es-ES"/>
        </w:rPr>
        <w:t xml:space="preserve">Velocidades de internet a nivel de </w:t>
      </w:r>
      <w:proofErr w:type="spellStart"/>
      <w:r>
        <w:rPr>
          <w:color w:val="181717"/>
          <w:sz w:val="24"/>
          <w:szCs w:val="24"/>
          <w:lang w:val="es-ES"/>
        </w:rPr>
        <w:t>ConnectAssist</w:t>
      </w:r>
      <w:proofErr w:type="spellEnd"/>
      <w:r>
        <w:rPr>
          <w:color w:val="181717"/>
          <w:sz w:val="24"/>
          <w:szCs w:val="24"/>
          <w:lang w:val="es-ES"/>
        </w:rPr>
        <w:t>, conforme al ECF</w:t>
      </w:r>
    </w:p>
    <w:p w14:paraId="481E1FC3" w14:textId="77777777" w:rsidR="002670E5" w:rsidRDefault="002670E5" w:rsidP="002670E5">
      <w:pPr>
        <w:pStyle w:val="NoSpacing"/>
        <w:numPr>
          <w:ilvl w:val="0"/>
          <w:numId w:val="1"/>
        </w:numPr>
        <w:rPr>
          <w:rFonts w:cstheme="minorHAnsi"/>
          <w:color w:val="181717"/>
          <w:sz w:val="24"/>
          <w:szCs w:val="24"/>
          <w:lang w:val="es-ES"/>
        </w:rPr>
      </w:pPr>
      <w:r>
        <w:rPr>
          <w:i/>
          <w:iCs/>
          <w:color w:val="181717"/>
          <w:sz w:val="24"/>
          <w:szCs w:val="24"/>
          <w:lang w:val="es-ES"/>
        </w:rPr>
        <w:t>Gateway</w:t>
      </w:r>
      <w:r>
        <w:rPr>
          <w:color w:val="181717"/>
          <w:sz w:val="24"/>
          <w:szCs w:val="24"/>
          <w:lang w:val="es-ES"/>
        </w:rPr>
        <w:t xml:space="preserve"> de wifi</w:t>
      </w:r>
    </w:p>
    <w:p w14:paraId="46B567E3" w14:textId="77777777" w:rsidR="002670E5" w:rsidRDefault="002670E5" w:rsidP="002670E5">
      <w:pPr>
        <w:pStyle w:val="NoSpacing"/>
        <w:rPr>
          <w:rFonts w:cstheme="minorHAnsi"/>
          <w:color w:val="000000" w:themeColor="text1"/>
          <w:sz w:val="24"/>
          <w:szCs w:val="24"/>
          <w:lang w:val="es-ES"/>
        </w:rPr>
      </w:pPr>
    </w:p>
    <w:p w14:paraId="385F4675" w14:textId="77777777" w:rsidR="002670E5" w:rsidRDefault="002670E5" w:rsidP="002670E5">
      <w:pPr>
        <w:pStyle w:val="NoSpacing"/>
        <w:rPr>
          <w:rFonts w:cstheme="minorHAnsi"/>
          <w:b/>
          <w:bCs/>
          <w:color w:val="000000" w:themeColor="text1"/>
          <w:sz w:val="24"/>
          <w:szCs w:val="24"/>
          <w:lang w:val="es-ES"/>
        </w:rPr>
      </w:pPr>
      <w:r>
        <w:rPr>
          <w:b/>
          <w:bCs/>
          <w:color w:val="000000" w:themeColor="text1"/>
          <w:sz w:val="24"/>
          <w:szCs w:val="24"/>
          <w:lang w:val="es-ES"/>
        </w:rPr>
        <w:t>Cómo puede una familia calificar para el subsidio de ECF</w:t>
      </w:r>
    </w:p>
    <w:p w14:paraId="3A1ECBEC" w14:textId="77777777" w:rsidR="002670E5" w:rsidRDefault="002670E5" w:rsidP="002670E5">
      <w:pPr>
        <w:pStyle w:val="NoSpacing"/>
        <w:rPr>
          <w:rFonts w:cstheme="minorHAnsi"/>
          <w:color w:val="000000" w:themeColor="text1"/>
          <w:sz w:val="24"/>
          <w:szCs w:val="24"/>
          <w:lang w:val="es-ES"/>
        </w:rPr>
      </w:pPr>
    </w:p>
    <w:p w14:paraId="4A81F945" w14:textId="77777777" w:rsidR="002670E5" w:rsidRDefault="002670E5" w:rsidP="002670E5">
      <w:pPr>
        <w:pStyle w:val="NoSpacing"/>
        <w:numPr>
          <w:ilvl w:val="0"/>
          <w:numId w:val="2"/>
        </w:numPr>
        <w:rPr>
          <w:rFonts w:cstheme="minorHAnsi"/>
          <w:color w:val="000000" w:themeColor="text1"/>
          <w:sz w:val="24"/>
          <w:szCs w:val="24"/>
          <w:lang w:val="es-ES"/>
        </w:rPr>
      </w:pPr>
      <w:r>
        <w:rPr>
          <w:sz w:val="24"/>
          <w:szCs w:val="24"/>
          <w:lang w:val="es-ES"/>
        </w:rPr>
        <w:t>El Fondo de Emergencia para la Conectividad tiene como objeto facilitar la conectividad de internet a los estudiantes de K-12, los maestros y los usuarios de bibliotecas que no tienen internet en casa.</w:t>
      </w:r>
    </w:p>
    <w:p w14:paraId="7744B26A" w14:textId="77777777" w:rsidR="002670E5" w:rsidRDefault="002670E5" w:rsidP="002670E5">
      <w:pPr>
        <w:pStyle w:val="NoSpacing"/>
        <w:numPr>
          <w:ilvl w:val="0"/>
          <w:numId w:val="2"/>
        </w:numPr>
        <w:rPr>
          <w:rFonts w:cstheme="minorHAnsi"/>
          <w:sz w:val="24"/>
          <w:szCs w:val="24"/>
          <w:lang w:val="es-ES"/>
        </w:rPr>
      </w:pPr>
      <w:r>
        <w:rPr>
          <w:sz w:val="24"/>
          <w:szCs w:val="24"/>
          <w:lang w:val="es-ES"/>
        </w:rPr>
        <w:t>Una vez que se les notifique que el centro educativo o la biblioteca se ha comunicado con Cox después de enviar la lista de domicilios elegibles, se deberá avisar a las familias que visiten cox.com/</w:t>
      </w:r>
      <w:proofErr w:type="spellStart"/>
      <w:r>
        <w:rPr>
          <w:sz w:val="24"/>
          <w:szCs w:val="24"/>
          <w:lang w:val="es-ES"/>
        </w:rPr>
        <w:t>ecf</w:t>
      </w:r>
      <w:proofErr w:type="spellEnd"/>
      <w:r>
        <w:rPr>
          <w:sz w:val="24"/>
          <w:szCs w:val="24"/>
          <w:lang w:val="es-ES"/>
        </w:rPr>
        <w:t xml:space="preserve"> para solicitar el servicio.</w:t>
      </w:r>
    </w:p>
    <w:p w14:paraId="217D915C" w14:textId="77777777" w:rsidR="002670E5" w:rsidRDefault="002670E5" w:rsidP="002670E5">
      <w:pPr>
        <w:pStyle w:val="NoSpacing"/>
        <w:ind w:left="720"/>
        <w:rPr>
          <w:rFonts w:cstheme="minorHAnsi"/>
          <w:sz w:val="24"/>
          <w:szCs w:val="24"/>
          <w:lang w:val="es-ES"/>
        </w:rPr>
      </w:pPr>
    </w:p>
    <w:p w14:paraId="693E2BD8" w14:textId="77777777" w:rsidR="002670E5" w:rsidRDefault="002670E5" w:rsidP="002670E5">
      <w:pPr>
        <w:pStyle w:val="NoSpacing"/>
        <w:rPr>
          <w:rFonts w:eastAsia="Times New Roman" w:cstheme="minorHAnsi"/>
          <w:sz w:val="24"/>
          <w:szCs w:val="24"/>
          <w:lang w:val="es-ES"/>
        </w:rPr>
      </w:pPr>
    </w:p>
    <w:p w14:paraId="1124EADE" w14:textId="77777777" w:rsidR="002670E5" w:rsidRDefault="002670E5" w:rsidP="002670E5">
      <w:pPr>
        <w:pStyle w:val="NoSpacing"/>
        <w:rPr>
          <w:rFonts w:eastAsia="Times New Roman" w:cstheme="minorHAnsi"/>
          <w:b/>
          <w:bCs/>
          <w:sz w:val="24"/>
          <w:szCs w:val="24"/>
          <w:lang w:val="es-ES"/>
        </w:rPr>
      </w:pPr>
      <w:r>
        <w:rPr>
          <w:b/>
          <w:bCs/>
          <w:sz w:val="24"/>
          <w:szCs w:val="24"/>
          <w:lang w:val="es-ES"/>
        </w:rPr>
        <w:t>Este es el programa de conectividad en el hogar para las familias elegibles para ECF</w:t>
      </w:r>
    </w:p>
    <w:p w14:paraId="5053019E" w14:textId="77777777" w:rsidR="002670E5" w:rsidRDefault="002670E5" w:rsidP="002670E5">
      <w:pPr>
        <w:pStyle w:val="NoSpacing"/>
        <w:rPr>
          <w:rFonts w:eastAsia="Times New Roman" w:cstheme="minorHAnsi"/>
          <w:b/>
          <w:bCs/>
          <w:sz w:val="24"/>
          <w:szCs w:val="24"/>
          <w:lang w:val="es-ES"/>
        </w:rPr>
      </w:pPr>
    </w:p>
    <w:p w14:paraId="1B71E25E" w14:textId="77777777" w:rsidR="002670E5" w:rsidRDefault="002670E5" w:rsidP="002670E5">
      <w:pPr>
        <w:pStyle w:val="NoSpacing"/>
        <w:rPr>
          <w:rFonts w:cstheme="minorHAnsi"/>
          <w:color w:val="000000" w:themeColor="text1"/>
          <w:sz w:val="24"/>
          <w:szCs w:val="24"/>
          <w:lang w:val="es-ES"/>
        </w:rPr>
      </w:pPr>
      <w:r>
        <w:rPr>
          <w:sz w:val="24"/>
          <w:szCs w:val="24"/>
          <w:lang w:val="es-ES"/>
        </w:rPr>
        <w:t xml:space="preserve">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ofrece velocidades de descarga de hasta 50 Mbps y de carga de 3 Mbps al nivel </w:t>
      </w:r>
      <w:proofErr w:type="spellStart"/>
      <w:r>
        <w:rPr>
          <w:sz w:val="24"/>
          <w:szCs w:val="24"/>
          <w:lang w:val="es-ES"/>
        </w:rPr>
        <w:t>ConnectAssist</w:t>
      </w:r>
      <w:proofErr w:type="spellEnd"/>
      <w:r>
        <w:rPr>
          <w:sz w:val="24"/>
          <w:szCs w:val="24"/>
          <w:lang w:val="es-ES"/>
        </w:rPr>
        <w:t xml:space="preserve">. Además, incluye un módem de </w:t>
      </w:r>
      <w:r>
        <w:rPr>
          <w:color w:val="000000" w:themeColor="text1"/>
          <w:sz w:val="24"/>
          <w:szCs w:val="24"/>
          <w:lang w:val="es-ES"/>
        </w:rPr>
        <w:t xml:space="preserve">wifi, que cubre el subsidio de ECF. Los clientes tendrán acceso a más de tres millones de </w:t>
      </w:r>
      <w:proofErr w:type="spellStart"/>
      <w:r>
        <w:rPr>
          <w:i/>
          <w:iCs/>
          <w:color w:val="000000" w:themeColor="text1"/>
          <w:sz w:val="24"/>
          <w:szCs w:val="24"/>
          <w:lang w:val="es-ES"/>
        </w:rPr>
        <w:t>hotspots</w:t>
      </w:r>
      <w:proofErr w:type="spellEnd"/>
      <w:r>
        <w:rPr>
          <w:color w:val="000000" w:themeColor="text1"/>
          <w:sz w:val="24"/>
          <w:szCs w:val="24"/>
          <w:lang w:val="es-ES"/>
        </w:rPr>
        <w:t xml:space="preserve"> de wifi y la protección de Cox Security Suite. El valor del subsidio es de $30 por mes hasta el 30 de junio de 2022 y el pago será emitido por el centro educativo o la biblioteca utilizando fondos federales asignados al ECF que administra la Compañía Administrativa de Servicios Universales (USAC, por sus siglas en inglés). El programa está disponible para nuevos clientes del servicio de internet de Cox cuando eligen el nivel de velocidades subsidiado. </w:t>
      </w:r>
    </w:p>
    <w:p w14:paraId="7B05ED10" w14:textId="77777777" w:rsidR="002670E5" w:rsidRDefault="002670E5" w:rsidP="002670E5">
      <w:pPr>
        <w:pStyle w:val="NoSpacing"/>
        <w:rPr>
          <w:rFonts w:cstheme="minorHAnsi"/>
          <w:color w:val="000000" w:themeColor="text1"/>
          <w:sz w:val="24"/>
          <w:szCs w:val="24"/>
          <w:lang w:val="es-ES"/>
        </w:rPr>
      </w:pPr>
    </w:p>
    <w:p w14:paraId="2D647281" w14:textId="77777777" w:rsidR="002670E5" w:rsidRDefault="002670E5" w:rsidP="002670E5">
      <w:pPr>
        <w:autoSpaceDE w:val="0"/>
        <w:autoSpaceDN w:val="0"/>
        <w:adjustRightInd w:val="0"/>
        <w:rPr>
          <w:rFonts w:cstheme="minorHAnsi"/>
          <w:color w:val="000000" w:themeColor="text1"/>
          <w:sz w:val="24"/>
          <w:szCs w:val="24"/>
          <w:lang w:val="es-ES"/>
        </w:rPr>
      </w:pPr>
      <w:r>
        <w:rPr>
          <w:sz w:val="24"/>
          <w:szCs w:val="24"/>
          <w:lang w:val="es-ES"/>
        </w:rPr>
        <w:lastRenderedPageBreak/>
        <w:t xml:space="preserve">No se requieren acuerdos a plazo con esta opción. Este programa ofrece instalación gratuita mediante el modo de </w:t>
      </w:r>
      <w:proofErr w:type="spellStart"/>
      <w:r>
        <w:rPr>
          <w:sz w:val="24"/>
          <w:szCs w:val="24"/>
          <w:lang w:val="es-ES"/>
        </w:rPr>
        <w:t>autoinstalación</w:t>
      </w:r>
      <w:proofErr w:type="spellEnd"/>
      <w:r>
        <w:rPr>
          <w:sz w:val="24"/>
          <w:szCs w:val="24"/>
          <w:lang w:val="es-ES"/>
        </w:rPr>
        <w:t xml:space="preserve"> (Easy </w:t>
      </w:r>
      <w:proofErr w:type="spellStart"/>
      <w:r>
        <w:rPr>
          <w:sz w:val="24"/>
          <w:szCs w:val="24"/>
          <w:lang w:val="es-ES"/>
        </w:rPr>
        <w:t>Connect</w:t>
      </w:r>
      <w:proofErr w:type="spellEnd"/>
      <w:r>
        <w:rPr>
          <w:sz w:val="24"/>
          <w:szCs w:val="24"/>
          <w:lang w:val="es-ES"/>
        </w:rPr>
        <w:t xml:space="preserve">), o si se necesita la opción profesional (Pro </w:t>
      </w:r>
      <w:proofErr w:type="spellStart"/>
      <w:r>
        <w:rPr>
          <w:sz w:val="24"/>
          <w:szCs w:val="24"/>
          <w:lang w:val="es-ES"/>
        </w:rPr>
        <w:t>Connect</w:t>
      </w:r>
      <w:proofErr w:type="spellEnd"/>
      <w:r>
        <w:rPr>
          <w:sz w:val="24"/>
          <w:szCs w:val="24"/>
          <w:lang w:val="es-ES"/>
        </w:rPr>
        <w:t xml:space="preserve">) se cobrará un cargo de $100 por este servicio al centro educativo o a la biblioteca. Todo esto está cubierto por la subvención de ECF si la USAC aprueba la solicitud de </w:t>
      </w:r>
      <w:proofErr w:type="gramStart"/>
      <w:r>
        <w:rPr>
          <w:sz w:val="24"/>
          <w:szCs w:val="24"/>
          <w:lang w:val="es-ES"/>
        </w:rPr>
        <w:t>la misma</w:t>
      </w:r>
      <w:proofErr w:type="gramEnd"/>
      <w:r>
        <w:rPr>
          <w:sz w:val="24"/>
          <w:szCs w:val="24"/>
          <w:lang w:val="es-ES"/>
        </w:rPr>
        <w:t>.</w:t>
      </w:r>
      <w:r>
        <w:rPr>
          <w:color w:val="000000" w:themeColor="text1"/>
          <w:sz w:val="24"/>
          <w:szCs w:val="24"/>
          <w:lang w:val="es-ES"/>
        </w:rPr>
        <w:t xml:space="preserve"> Hay que tener en cuenta que la entrega del módem puede tardar entre 5 y 10 días aproximadamente. </w:t>
      </w:r>
    </w:p>
    <w:p w14:paraId="018983BA" w14:textId="77777777" w:rsidR="002670E5" w:rsidRDefault="002670E5" w:rsidP="002670E5">
      <w:pPr>
        <w:spacing w:after="0" w:line="240" w:lineRule="auto"/>
        <w:rPr>
          <w:rFonts w:cstheme="minorHAnsi"/>
          <w:b/>
          <w:bCs/>
          <w:sz w:val="24"/>
          <w:szCs w:val="24"/>
          <w:lang w:val="es-ES"/>
        </w:rPr>
      </w:pPr>
      <w:r>
        <w:rPr>
          <w:b/>
          <w:bCs/>
          <w:sz w:val="24"/>
          <w:szCs w:val="24"/>
          <w:lang w:val="es-ES"/>
        </w:rPr>
        <w:t>Esto es lo que puedes hacer para empezar el proceso del subsidio para maestros, estudiantes y usuarios de bibliotecas</w:t>
      </w:r>
    </w:p>
    <w:p w14:paraId="138F2747" w14:textId="77777777" w:rsidR="002670E5" w:rsidRDefault="002670E5" w:rsidP="002670E5">
      <w:pPr>
        <w:spacing w:after="0" w:line="240" w:lineRule="auto"/>
        <w:rPr>
          <w:rFonts w:eastAsia="Times New Roman" w:cstheme="minorHAnsi"/>
          <w:sz w:val="24"/>
          <w:szCs w:val="24"/>
          <w:lang w:val="es-ES"/>
        </w:rPr>
      </w:pPr>
      <w:r>
        <w:rPr>
          <w:sz w:val="24"/>
          <w:szCs w:val="24"/>
          <w:lang w:val="es-ES"/>
        </w:rPr>
        <w:t xml:space="preserve">Cox ha creado un proceso para ayudar a familias, personal docente y usuarios de bibliotecas a conectarse rápidamente.  </w:t>
      </w:r>
      <w:r>
        <w:rPr>
          <w:lang w:val="es-ES"/>
        </w:rPr>
        <w:t>Cox recomienda como primer paso que los centros educativos y las bibliotecas envíen un mensaje a</w:t>
      </w:r>
      <w:r>
        <w:rPr>
          <w:sz w:val="24"/>
          <w:szCs w:val="24"/>
          <w:lang w:val="es-ES"/>
        </w:rPr>
        <w:t xml:space="preserve"> Cox a </w:t>
      </w:r>
      <w:hyperlink r:id="rId5" w:history="1">
        <w:r>
          <w:rPr>
            <w:rStyle w:val="Hyperlink"/>
            <w:sz w:val="24"/>
            <w:szCs w:val="24"/>
            <w:lang w:val="es-ES"/>
          </w:rPr>
          <w:t>connectnow@cox.com</w:t>
        </w:r>
      </w:hyperlink>
      <w:r>
        <w:rPr>
          <w:sz w:val="24"/>
          <w:szCs w:val="24"/>
          <w:lang w:val="es-ES"/>
        </w:rPr>
        <w:t>.  Si estás interesado en el programa de conectividad en el hogar, escribe “ECF” en el asunto del mensaje.</w:t>
      </w:r>
    </w:p>
    <w:p w14:paraId="75E284D1" w14:textId="77777777" w:rsidR="002670E5" w:rsidRDefault="002670E5" w:rsidP="002670E5">
      <w:pPr>
        <w:spacing w:after="0" w:line="240" w:lineRule="auto"/>
        <w:rPr>
          <w:rFonts w:eastAsia="Times New Roman" w:cstheme="minorHAnsi"/>
          <w:sz w:val="24"/>
          <w:szCs w:val="24"/>
          <w:lang w:val="es-ES"/>
        </w:rPr>
      </w:pPr>
      <w:r>
        <w:rPr>
          <w:sz w:val="24"/>
          <w:szCs w:val="24"/>
          <w:lang w:val="es-ES"/>
        </w:rPr>
        <w:t xml:space="preserve">En respuesta al mensaje, el centro educativo o la biblioteca recibirá un enlace protegido por SharePoint para que cargue una lista con las direcciones de los estudiantes/ maestros/usuarios (no es necesario incluir nombres ni información de contacto, solo domicilios).  Cox pide que no se envíen documentos adjuntos al </w:t>
      </w:r>
      <w:r>
        <w:rPr>
          <w:i/>
          <w:iCs/>
          <w:sz w:val="24"/>
          <w:szCs w:val="24"/>
          <w:lang w:val="es-ES"/>
        </w:rPr>
        <w:t>email</w:t>
      </w:r>
      <w:r>
        <w:rPr>
          <w:sz w:val="24"/>
          <w:szCs w:val="24"/>
          <w:lang w:val="es-ES"/>
        </w:rPr>
        <w:t xml:space="preserve"> con información sobre los estudiantes, maestros o usuarios, y que se utilice el enlace de SharePoint enviado por el coordinador de Cox para efectos de ECF.   </w:t>
      </w:r>
    </w:p>
    <w:p w14:paraId="0E0E29D9" w14:textId="77777777" w:rsidR="002670E5" w:rsidRDefault="002670E5" w:rsidP="002670E5">
      <w:pPr>
        <w:spacing w:after="0" w:line="240" w:lineRule="auto"/>
        <w:rPr>
          <w:rFonts w:eastAsia="Times New Roman" w:cstheme="minorHAnsi"/>
          <w:sz w:val="24"/>
          <w:szCs w:val="24"/>
          <w:lang w:val="es-ES"/>
        </w:rPr>
      </w:pPr>
    </w:p>
    <w:p w14:paraId="50681284" w14:textId="77777777" w:rsidR="002670E5" w:rsidRDefault="002670E5" w:rsidP="002670E5">
      <w:pPr>
        <w:spacing w:after="0" w:line="240" w:lineRule="auto"/>
        <w:rPr>
          <w:rFonts w:cstheme="minorHAnsi"/>
          <w:sz w:val="24"/>
          <w:szCs w:val="24"/>
          <w:lang w:val="es-ES"/>
        </w:rPr>
      </w:pPr>
      <w:r>
        <w:rPr>
          <w:sz w:val="24"/>
          <w:szCs w:val="24"/>
          <w:lang w:val="es-ES"/>
        </w:rPr>
        <w:t xml:space="preserve">Los centros educativos y las bibliotecas pueden presentar una solicitud a USAC para recibir fondos de ECF con los que cubrir el 100% de los costos del servicio mensual, la instalación y los impuestos aplicables que a juicio de la USAC sean razonables. Sería conveniente que comunicaran claramente a las familias, los maestros y los usuarios en una carta detallada el alcance del subsidio. </w:t>
      </w:r>
    </w:p>
    <w:p w14:paraId="439B43FE" w14:textId="77777777" w:rsidR="002670E5" w:rsidRDefault="002670E5" w:rsidP="002670E5">
      <w:pPr>
        <w:spacing w:after="0" w:line="240" w:lineRule="auto"/>
        <w:rPr>
          <w:rFonts w:cstheme="minorHAnsi"/>
          <w:sz w:val="24"/>
          <w:szCs w:val="24"/>
          <w:lang w:val="es-ES"/>
        </w:rPr>
      </w:pPr>
    </w:p>
    <w:p w14:paraId="368C52A6" w14:textId="77777777" w:rsidR="002670E5" w:rsidRDefault="002670E5" w:rsidP="002670E5">
      <w:pPr>
        <w:spacing w:after="0" w:line="240" w:lineRule="auto"/>
        <w:rPr>
          <w:rFonts w:cstheme="minorHAnsi"/>
          <w:sz w:val="24"/>
          <w:szCs w:val="24"/>
          <w:lang w:val="es-ES"/>
        </w:rPr>
      </w:pPr>
      <w:r>
        <w:rPr>
          <w:sz w:val="24"/>
          <w:szCs w:val="24"/>
          <w:lang w:val="es-ES"/>
        </w:rPr>
        <w:t>Los centros educativos pueden visitar cox.com/</w:t>
      </w:r>
      <w:proofErr w:type="spellStart"/>
      <w:r>
        <w:rPr>
          <w:sz w:val="24"/>
          <w:szCs w:val="24"/>
          <w:lang w:val="es-ES"/>
        </w:rPr>
        <w:t>ecf</w:t>
      </w:r>
      <w:proofErr w:type="spellEnd"/>
      <w:r>
        <w:rPr>
          <w:sz w:val="24"/>
          <w:szCs w:val="24"/>
          <w:lang w:val="es-ES"/>
        </w:rPr>
        <w:t xml:space="preserve"> para encontrar más información sobre el proceso. Los coordinadores del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están disponibles en caso de necesitar asistencia adicional.</w:t>
      </w:r>
    </w:p>
    <w:p w14:paraId="404B68F2" w14:textId="77777777" w:rsidR="002670E5" w:rsidRDefault="002670E5" w:rsidP="002670E5">
      <w:pPr>
        <w:spacing w:after="0" w:line="240" w:lineRule="auto"/>
        <w:rPr>
          <w:rFonts w:eastAsia="Times New Roman" w:cstheme="minorHAnsi"/>
          <w:sz w:val="24"/>
          <w:szCs w:val="24"/>
          <w:lang w:val="es-ES"/>
        </w:rPr>
      </w:pPr>
    </w:p>
    <w:p w14:paraId="2805E00F" w14:textId="77777777" w:rsidR="002670E5" w:rsidRDefault="002670E5" w:rsidP="002670E5">
      <w:pPr>
        <w:rPr>
          <w:rFonts w:eastAsia="Times New Roman" w:cstheme="minorHAnsi"/>
          <w:b/>
          <w:bCs/>
          <w:sz w:val="24"/>
          <w:szCs w:val="24"/>
          <w:lang w:val="es-ES"/>
        </w:rPr>
      </w:pPr>
      <w:r>
        <w:rPr>
          <w:b/>
          <w:bCs/>
          <w:sz w:val="24"/>
          <w:szCs w:val="24"/>
          <w:lang w:val="es-ES"/>
        </w:rPr>
        <w:t>Algunos datos adicionales</w:t>
      </w:r>
    </w:p>
    <w:p w14:paraId="0471789E" w14:textId="77777777" w:rsidR="002670E5" w:rsidRDefault="002670E5" w:rsidP="002670E5">
      <w:pPr>
        <w:pStyle w:val="ListParagraph"/>
        <w:numPr>
          <w:ilvl w:val="0"/>
          <w:numId w:val="3"/>
        </w:numPr>
        <w:rPr>
          <w:rFonts w:eastAsia="Times New Roman" w:cstheme="minorHAnsi"/>
          <w:b/>
          <w:bCs/>
          <w:sz w:val="24"/>
          <w:szCs w:val="24"/>
          <w:lang w:val="es-ES"/>
        </w:rPr>
      </w:pPr>
      <w:r>
        <w:rPr>
          <w:sz w:val="24"/>
          <w:szCs w:val="24"/>
          <w:lang w:val="es-ES"/>
        </w:rPr>
        <w:t xml:space="preserve">Cox puede ofrecer opciones de pago flexibles. </w:t>
      </w:r>
    </w:p>
    <w:p w14:paraId="102CFEB9" w14:textId="77777777" w:rsidR="002670E5" w:rsidRDefault="002670E5" w:rsidP="002670E5">
      <w:pPr>
        <w:pStyle w:val="ListParagraph"/>
        <w:numPr>
          <w:ilvl w:val="0"/>
          <w:numId w:val="3"/>
        </w:numPr>
        <w:rPr>
          <w:rFonts w:eastAsia="Times New Roman" w:cstheme="minorHAnsi"/>
          <w:b/>
          <w:bCs/>
          <w:sz w:val="24"/>
          <w:szCs w:val="24"/>
          <w:lang w:val="es-ES"/>
        </w:rPr>
      </w:pPr>
      <w:r>
        <w:rPr>
          <w:sz w:val="24"/>
          <w:szCs w:val="24"/>
          <w:lang w:val="es-ES"/>
        </w:rPr>
        <w:t xml:space="preserve">No se requiere un acuerdo a plazo ni se aplican cargos por cancelación. </w:t>
      </w:r>
    </w:p>
    <w:p w14:paraId="2934B0F6" w14:textId="77777777" w:rsidR="002670E5" w:rsidRDefault="002670E5" w:rsidP="002670E5">
      <w:pPr>
        <w:pStyle w:val="ListParagraph"/>
        <w:numPr>
          <w:ilvl w:val="0"/>
          <w:numId w:val="3"/>
        </w:numPr>
        <w:rPr>
          <w:rFonts w:cstheme="minorHAnsi"/>
          <w:b/>
          <w:bCs/>
          <w:sz w:val="24"/>
          <w:szCs w:val="24"/>
          <w:lang w:val="es-ES"/>
        </w:rPr>
      </w:pPr>
      <w:r>
        <w:rPr>
          <w:sz w:val="24"/>
          <w:szCs w:val="24"/>
          <w:lang w:val="es-ES"/>
        </w:rPr>
        <w:t>Los participantes pueden presentar una solicitud en cox.com/ECF desde una computadora o dispositivo móvil.</w:t>
      </w:r>
    </w:p>
    <w:p w14:paraId="65759838" w14:textId="77777777" w:rsidR="002670E5" w:rsidRDefault="002670E5" w:rsidP="002670E5">
      <w:pPr>
        <w:pStyle w:val="ListParagraph"/>
        <w:rPr>
          <w:rFonts w:cstheme="minorHAnsi"/>
          <w:b/>
          <w:bCs/>
          <w:sz w:val="24"/>
          <w:szCs w:val="24"/>
          <w:lang w:val="es-ES"/>
        </w:rPr>
      </w:pPr>
    </w:p>
    <w:p w14:paraId="6B5D87CA" w14:textId="77777777" w:rsidR="002670E5" w:rsidRDefault="002670E5" w:rsidP="002670E5">
      <w:pPr>
        <w:rPr>
          <w:rFonts w:cstheme="minorHAnsi"/>
          <w:b/>
          <w:bCs/>
          <w:sz w:val="24"/>
          <w:szCs w:val="24"/>
          <w:lang w:val="es-ES"/>
        </w:rPr>
      </w:pPr>
      <w:r>
        <w:rPr>
          <w:b/>
          <w:bCs/>
          <w:sz w:val="24"/>
          <w:szCs w:val="24"/>
          <w:lang w:val="es-ES"/>
        </w:rPr>
        <w:t>Dónde se puede encontrar asistencia adicional</w:t>
      </w:r>
    </w:p>
    <w:p w14:paraId="7E2F3C5A" w14:textId="77777777" w:rsidR="002670E5" w:rsidRDefault="002670E5" w:rsidP="002670E5">
      <w:pPr>
        <w:rPr>
          <w:rFonts w:cstheme="minorHAnsi"/>
          <w:sz w:val="24"/>
          <w:szCs w:val="24"/>
          <w:lang w:val="es-ES"/>
        </w:rPr>
      </w:pPr>
      <w:r>
        <w:rPr>
          <w:sz w:val="24"/>
          <w:szCs w:val="24"/>
          <w:lang w:val="es-ES"/>
        </w:rPr>
        <w:t>Visita cox.com/</w:t>
      </w:r>
      <w:proofErr w:type="spellStart"/>
      <w:r>
        <w:rPr>
          <w:sz w:val="24"/>
          <w:szCs w:val="24"/>
          <w:lang w:val="es-ES"/>
        </w:rPr>
        <w:t>ecf</w:t>
      </w:r>
      <w:proofErr w:type="spellEnd"/>
      <w:r>
        <w:rPr>
          <w:sz w:val="24"/>
          <w:szCs w:val="24"/>
          <w:lang w:val="es-ES"/>
        </w:rPr>
        <w:t xml:space="preserve"> para informarte sobre cómo subsidiar el servicio de internet para estudiantes y maestros de tu centro educativo o usuarios de tu biblioteca a través de Cox. Comunícate con un coordinador de Cox en connectnow@cox.com en caso de necesitar asistencia adicional.</w:t>
      </w:r>
    </w:p>
    <w:p w14:paraId="752B3F27" w14:textId="77777777" w:rsidR="002670E5" w:rsidRDefault="002670E5" w:rsidP="002670E5">
      <w:pPr>
        <w:rPr>
          <w:rFonts w:cstheme="minorHAnsi"/>
          <w:b/>
          <w:bCs/>
          <w:sz w:val="24"/>
          <w:szCs w:val="24"/>
          <w:lang w:val="es-ES"/>
        </w:rPr>
      </w:pPr>
      <w:r>
        <w:rPr>
          <w:b/>
          <w:bCs/>
          <w:sz w:val="24"/>
          <w:szCs w:val="24"/>
          <w:lang w:val="es-ES"/>
        </w:rPr>
        <w:lastRenderedPageBreak/>
        <w:t>Antes de concluir…</w:t>
      </w:r>
    </w:p>
    <w:p w14:paraId="1722C21E" w14:textId="77777777" w:rsidR="002670E5" w:rsidRDefault="002670E5" w:rsidP="002670E5">
      <w:pPr>
        <w:pStyle w:val="ListParagraph"/>
        <w:numPr>
          <w:ilvl w:val="0"/>
          <w:numId w:val="4"/>
        </w:numPr>
        <w:rPr>
          <w:rFonts w:cstheme="minorHAnsi"/>
          <w:sz w:val="24"/>
          <w:szCs w:val="24"/>
          <w:lang w:val="es-ES"/>
        </w:rPr>
      </w:pPr>
      <w:r>
        <w:rPr>
          <w:sz w:val="24"/>
          <w:szCs w:val="24"/>
          <w:lang w:val="es-ES"/>
        </w:rPr>
        <w:t>El 25% de los adolescentes muchas veces no puede completar las tareas escolares en casa porque no tienen una computadora o internet fiables.</w:t>
      </w:r>
    </w:p>
    <w:p w14:paraId="2B7DB19F" w14:textId="77777777" w:rsidR="002670E5" w:rsidRDefault="002670E5" w:rsidP="002670E5">
      <w:pPr>
        <w:pStyle w:val="ListParagraph"/>
        <w:numPr>
          <w:ilvl w:val="0"/>
          <w:numId w:val="4"/>
        </w:numPr>
        <w:rPr>
          <w:rFonts w:cstheme="minorHAnsi"/>
          <w:sz w:val="24"/>
          <w:szCs w:val="24"/>
          <w:vertAlign w:val="subscript"/>
          <w:lang w:val="es-ES"/>
        </w:rPr>
      </w:pPr>
      <w:r>
        <w:rPr>
          <w:sz w:val="24"/>
          <w:szCs w:val="24"/>
          <w:lang w:val="es-ES"/>
        </w:rPr>
        <w:t xml:space="preserve">Aproximadamente uno de cada cinco adolescentes negros (el 21%) ha utilizado en algún momento un wifi público </w:t>
      </w:r>
      <w:r>
        <w:rPr>
          <w:sz w:val="24"/>
          <w:szCs w:val="24"/>
          <w:highlight w:val="white"/>
          <w:lang w:val="es-ES"/>
        </w:rPr>
        <w:t xml:space="preserve">por este motivo, y entre ellos un 10% las usan </w:t>
      </w:r>
      <w:proofErr w:type="gramStart"/>
      <w:r>
        <w:rPr>
          <w:sz w:val="24"/>
          <w:szCs w:val="24"/>
          <w:highlight w:val="white"/>
          <w:lang w:val="es-ES"/>
        </w:rPr>
        <w:t>frecuentemente.</w:t>
      </w:r>
      <w:r>
        <w:rPr>
          <w:sz w:val="24"/>
          <w:szCs w:val="24"/>
          <w:highlight w:val="white"/>
          <w:vertAlign w:val="superscript"/>
          <w:lang w:val="es-ES"/>
        </w:rPr>
        <w:t>(</w:t>
      </w:r>
      <w:proofErr w:type="gramEnd"/>
      <w:r>
        <w:rPr>
          <w:sz w:val="24"/>
          <w:szCs w:val="24"/>
          <w:highlight w:val="white"/>
          <w:vertAlign w:val="superscript"/>
          <w:lang w:val="es-ES"/>
        </w:rPr>
        <w:t>1)</w:t>
      </w:r>
    </w:p>
    <w:p w14:paraId="1013E77F" w14:textId="77777777" w:rsidR="002670E5" w:rsidRDefault="002670E5" w:rsidP="002670E5">
      <w:pPr>
        <w:pStyle w:val="ListParagraph"/>
        <w:numPr>
          <w:ilvl w:val="0"/>
          <w:numId w:val="4"/>
        </w:numPr>
        <w:rPr>
          <w:rFonts w:cstheme="minorHAnsi"/>
          <w:sz w:val="24"/>
          <w:szCs w:val="24"/>
          <w:lang w:val="es-ES"/>
        </w:rPr>
      </w:pPr>
      <w:r>
        <w:rPr>
          <w:sz w:val="24"/>
          <w:szCs w:val="24"/>
          <w:lang w:val="es-ES"/>
        </w:rPr>
        <w:t>Una de cada tres unidades familiares con niños de entre 6 y 17 años no tiene internet de alta velocidad en casa.</w:t>
      </w:r>
    </w:p>
    <w:p w14:paraId="66A4B898" w14:textId="77777777" w:rsidR="002670E5" w:rsidRDefault="002670E5" w:rsidP="002670E5">
      <w:pPr>
        <w:pStyle w:val="ListParagraph"/>
        <w:numPr>
          <w:ilvl w:val="0"/>
          <w:numId w:val="4"/>
        </w:numPr>
        <w:rPr>
          <w:rFonts w:cstheme="minorHAnsi"/>
          <w:sz w:val="24"/>
          <w:szCs w:val="24"/>
          <w:lang w:val="es-ES"/>
        </w:rPr>
      </w:pPr>
      <w:r>
        <w:rPr>
          <w:sz w:val="24"/>
          <w:szCs w:val="24"/>
          <w:lang w:val="es-ES"/>
        </w:rPr>
        <w:t>El 45% de los adolescentes que viven en unidades familiares con ingresos anuales inferiores a los $30,000 dependen en algún momento de su teléfono móvil para completar sus tareas escolares.</w:t>
      </w:r>
      <w:r>
        <w:rPr>
          <w:sz w:val="24"/>
          <w:szCs w:val="24"/>
          <w:vertAlign w:val="superscript"/>
          <w:lang w:val="es-ES"/>
        </w:rPr>
        <w:t xml:space="preserve"> (1)</w:t>
      </w:r>
    </w:p>
    <w:p w14:paraId="584A87AB" w14:textId="77777777" w:rsidR="002670E5" w:rsidRDefault="002670E5" w:rsidP="002670E5">
      <w:pPr>
        <w:rPr>
          <w:rFonts w:cstheme="minorHAnsi"/>
          <w:sz w:val="24"/>
          <w:szCs w:val="24"/>
          <w:lang w:val="es-ES"/>
        </w:rPr>
      </w:pPr>
    </w:p>
    <w:p w14:paraId="3E438CE7" w14:textId="77777777" w:rsidR="002670E5" w:rsidRDefault="002670E5" w:rsidP="002670E5">
      <w:pPr>
        <w:numPr>
          <w:ilvl w:val="0"/>
          <w:numId w:val="5"/>
        </w:numPr>
        <w:rPr>
          <w:rFonts w:cstheme="minorHAnsi"/>
          <w:sz w:val="24"/>
          <w:szCs w:val="24"/>
          <w:lang w:val="es-ES"/>
        </w:rPr>
      </w:pPr>
      <w:hyperlink r:id="rId6" w:history="1">
        <w:r>
          <w:rPr>
            <w:rStyle w:val="Hyperlink"/>
            <w:sz w:val="24"/>
            <w:szCs w:val="24"/>
            <w:highlight w:val="white"/>
            <w:lang w:val="es-ES"/>
          </w:rPr>
          <w:t>https://www.pewresearch.org/fact-tank/2018/10/26/nearly-one-in-five-teens-cant-always-finish-their-homework-because-of-the-digital-divide/</w:t>
        </w:r>
      </w:hyperlink>
    </w:p>
    <w:p w14:paraId="40815555" w14:textId="77777777" w:rsidR="002670E5" w:rsidRDefault="002670E5" w:rsidP="002670E5">
      <w:pPr>
        <w:rPr>
          <w:rFonts w:cstheme="minorHAnsi"/>
          <w:sz w:val="24"/>
          <w:szCs w:val="24"/>
          <w:lang w:val="es-ES"/>
        </w:rPr>
      </w:pPr>
    </w:p>
    <w:p w14:paraId="021A80C2" w14:textId="77777777" w:rsidR="000F7118" w:rsidRDefault="000F7118"/>
    <w:sectPr w:rsidR="000F7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15585D"/>
    <w:multiLevelType w:val="hybridMultilevel"/>
    <w:tmpl w:val="83524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F4104D"/>
    <w:multiLevelType w:val="hybridMultilevel"/>
    <w:tmpl w:val="308A8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F634ED9"/>
    <w:multiLevelType w:val="hybridMultilevel"/>
    <w:tmpl w:val="359884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5E9C57DA"/>
    <w:multiLevelType w:val="hybridMultilevel"/>
    <w:tmpl w:val="FFCE1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76365C8"/>
    <w:multiLevelType w:val="hybridMultilevel"/>
    <w:tmpl w:val="E07C9F04"/>
    <w:lvl w:ilvl="0" w:tplc="CF0A66A4">
      <w:start w:val="1"/>
      <w:numFmt w:val="decimal"/>
      <w:lvlText w:val="(%1)"/>
      <w:lvlJc w:val="left"/>
      <w:pPr>
        <w:tabs>
          <w:tab w:val="num" w:pos="720"/>
        </w:tabs>
        <w:ind w:left="720" w:hanging="360"/>
      </w:pPr>
    </w:lvl>
    <w:lvl w:ilvl="1" w:tplc="079C4998">
      <w:start w:val="1"/>
      <w:numFmt w:val="decimal"/>
      <w:lvlText w:val="(%2)"/>
      <w:lvlJc w:val="left"/>
      <w:pPr>
        <w:tabs>
          <w:tab w:val="num" w:pos="1440"/>
        </w:tabs>
        <w:ind w:left="1440" w:hanging="360"/>
      </w:pPr>
    </w:lvl>
    <w:lvl w:ilvl="2" w:tplc="CDF010D2">
      <w:start w:val="1"/>
      <w:numFmt w:val="decimal"/>
      <w:lvlText w:val="(%3)"/>
      <w:lvlJc w:val="left"/>
      <w:pPr>
        <w:tabs>
          <w:tab w:val="num" w:pos="2160"/>
        </w:tabs>
        <w:ind w:left="2160" w:hanging="360"/>
      </w:pPr>
    </w:lvl>
    <w:lvl w:ilvl="3" w:tplc="95FEB6C0">
      <w:start w:val="1"/>
      <w:numFmt w:val="decimal"/>
      <w:lvlText w:val="(%4)"/>
      <w:lvlJc w:val="left"/>
      <w:pPr>
        <w:tabs>
          <w:tab w:val="num" w:pos="2880"/>
        </w:tabs>
        <w:ind w:left="2880" w:hanging="360"/>
      </w:pPr>
    </w:lvl>
    <w:lvl w:ilvl="4" w:tplc="8110A362">
      <w:start w:val="1"/>
      <w:numFmt w:val="decimal"/>
      <w:lvlText w:val="(%5)"/>
      <w:lvlJc w:val="left"/>
      <w:pPr>
        <w:tabs>
          <w:tab w:val="num" w:pos="3600"/>
        </w:tabs>
        <w:ind w:left="3600" w:hanging="360"/>
      </w:pPr>
    </w:lvl>
    <w:lvl w:ilvl="5" w:tplc="6BFAADFA">
      <w:start w:val="1"/>
      <w:numFmt w:val="decimal"/>
      <w:lvlText w:val="(%6)"/>
      <w:lvlJc w:val="left"/>
      <w:pPr>
        <w:tabs>
          <w:tab w:val="num" w:pos="4320"/>
        </w:tabs>
        <w:ind w:left="4320" w:hanging="360"/>
      </w:pPr>
    </w:lvl>
    <w:lvl w:ilvl="6" w:tplc="F306D034">
      <w:start w:val="1"/>
      <w:numFmt w:val="decimal"/>
      <w:lvlText w:val="(%7)"/>
      <w:lvlJc w:val="left"/>
      <w:pPr>
        <w:tabs>
          <w:tab w:val="num" w:pos="5040"/>
        </w:tabs>
        <w:ind w:left="5040" w:hanging="360"/>
      </w:pPr>
    </w:lvl>
    <w:lvl w:ilvl="7" w:tplc="0EA65948">
      <w:start w:val="1"/>
      <w:numFmt w:val="decimal"/>
      <w:lvlText w:val="(%8)"/>
      <w:lvlJc w:val="left"/>
      <w:pPr>
        <w:tabs>
          <w:tab w:val="num" w:pos="5760"/>
        </w:tabs>
        <w:ind w:left="5760" w:hanging="360"/>
      </w:pPr>
    </w:lvl>
    <w:lvl w:ilvl="8" w:tplc="B0E61546">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0E5"/>
    <w:rsid w:val="000812F0"/>
    <w:rsid w:val="000F7118"/>
    <w:rsid w:val="00267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45BC"/>
  <w15:chartTrackingRefBased/>
  <w15:docId w15:val="{04D98003-83A6-4EB3-A77B-4B95080C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0E5"/>
    <w:pPr>
      <w:spacing w:line="256" w:lineRule="auto"/>
    </w:pPr>
    <w:rPr>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70E5"/>
    <w:rPr>
      <w:color w:val="0563C1" w:themeColor="hyperlink"/>
      <w:u w:val="single"/>
    </w:rPr>
  </w:style>
  <w:style w:type="paragraph" w:styleId="NoSpacing">
    <w:name w:val="No Spacing"/>
    <w:uiPriority w:val="1"/>
    <w:qFormat/>
    <w:rsid w:val="002670E5"/>
    <w:pPr>
      <w:spacing w:after="0" w:line="240" w:lineRule="auto"/>
    </w:pPr>
    <w:rPr>
      <w:lang w:val="es-US"/>
    </w:rPr>
  </w:style>
  <w:style w:type="paragraph" w:styleId="ListParagraph">
    <w:name w:val="List Paragraph"/>
    <w:basedOn w:val="Normal"/>
    <w:uiPriority w:val="34"/>
    <w:qFormat/>
    <w:rsid w:val="00267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253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wresearch.org/fact-tank/2018/10/26/nearly-one-in-five-teens-cant-always-finish-their-homework-because-of-the-digital-divide/" TargetMode="External"/><Relationship Id="rId5" Type="http://schemas.openxmlformats.org/officeDocument/2006/relationships/hyperlink" Target="mailto:connectnow@co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915</Words>
  <Characters>5219</Characters>
  <Application>Microsoft Office Word</Application>
  <DocSecurity>0</DocSecurity>
  <Lines>43</Lines>
  <Paragraphs>12</Paragraphs>
  <ScaleCrop>false</ScaleCrop>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D'Aquin, David (CCI-Atlanta)</dc:creator>
  <cp:keywords/>
  <dc:description/>
  <cp:lastModifiedBy>D'Aquin, David (CCI-Atlanta)</cp:lastModifiedBy>
  <cp:revision>1</cp:revision>
  <dcterms:created xsi:type="dcterms:W3CDTF">2021-08-05T15:32:00Z</dcterms:created>
  <dcterms:modified xsi:type="dcterms:W3CDTF">2021-08-05T15:33:00Z</dcterms:modified>
</cp:coreProperties>
</file>